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февраля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95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Гнатюк Владислава Витальевича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7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916054198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28.12.2025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16.09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Гнатюк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Владислава Витальевича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0412365400285000952620135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